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37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6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от 31 августа 2020г.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ПОЛОЖЕНИЕ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960" w:right="700" w:firstLine="35"/>
        <w:spacing w:after="0" w:line="231" w:lineRule="auto"/>
        <w:tabs>
          <w:tab w:leader="none" w:pos="12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формах, периодичности и порядке текущего контроля успеваемости и промежуточной аттестации обучающихся в Муниципальном бюджетном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общеобразовательном учреждении «Средняя школа №19»</w:t>
      </w:r>
    </w:p>
    <w:p>
      <w:pPr>
        <w:jc w:val="center"/>
        <w:ind w:right="-23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(МБОУ «СШ №19»)</w:t>
      </w:r>
    </w:p>
    <w:p>
      <w:pPr>
        <w:ind w:left="960" w:hanging="700"/>
        <w:spacing w:after="0" w:line="238" w:lineRule="auto"/>
        <w:tabs>
          <w:tab w:leader="none" w:pos="9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Общие положения.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1580" w:val="left"/>
          <w:tab w:leader="none" w:pos="2960" w:val="left"/>
          <w:tab w:leader="none" w:pos="3280" w:val="left"/>
          <w:tab w:leader="none" w:pos="4320" w:val="left"/>
          <w:tab w:leader="none" w:pos="6120" w:val="left"/>
          <w:tab w:leader="none" w:pos="6460" w:val="left"/>
          <w:tab w:leader="none" w:pos="7480" w:val="left"/>
          <w:tab w:leader="none" w:pos="8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Настоящее</w:t>
        <w:tab/>
        <w:t>Положение</w:t>
        <w:tab/>
        <w:t>о</w:t>
        <w:tab/>
        <w:t>формах,</w:t>
        <w:tab/>
        <w:t>периодичности</w:t>
        <w:tab/>
        <w:t>и</w:t>
        <w:tab/>
        <w:t>порядке</w:t>
        <w:tab/>
        <w:t>текущего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контроля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успеваемости и промежуточной аттестации обучающихся в муниципальном бюджетном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общеобразовательном учреждении «Средняя школа № 19» разработано в соответствии с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1860" w:val="left"/>
          <w:tab w:leader="none" w:pos="2900" w:val="left"/>
          <w:tab w:leader="none" w:pos="3320" w:val="left"/>
          <w:tab w:leader="none" w:pos="4600" w:val="left"/>
          <w:tab w:leader="none" w:pos="5020" w:val="left"/>
          <w:tab w:leader="none" w:pos="5980" w:val="left"/>
          <w:tab w:leader="none" w:pos="6600" w:val="left"/>
          <w:tab w:leader="none" w:pos="8080" w:val="left"/>
          <w:tab w:leader="none" w:pos="8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Федеральным</w:t>
        <w:tab/>
        <w:t>законом</w:t>
        <w:tab/>
        <w:t>от</w:t>
        <w:tab/>
        <w:t>29.12.2012</w:t>
        <w:tab/>
        <w:t>№</w:t>
        <w:tab/>
        <w:t>273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</w:t>
        <w:tab/>
        <w:t>«Об</w:t>
        <w:tab/>
        <w:t>образовании</w:t>
        <w:tab/>
        <w:t>в</w:t>
        <w:tab/>
        <w:t>Российской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Федерации», Порядком организации и осуществления образовательной деятельности по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основным общеобразовательным программам – образовательным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1640" w:val="left"/>
          <w:tab w:leader="none" w:pos="2960" w:val="left"/>
          <w:tab w:leader="none" w:pos="3920" w:val="left"/>
          <w:tab w:leader="none" w:pos="5120" w:val="left"/>
          <w:tab w:leader="none" w:pos="6020" w:val="left"/>
          <w:tab w:leader="none" w:pos="6300" w:val="left"/>
          <w:tab w:leader="none" w:pos="7360" w:val="left"/>
          <w:tab w:leader="none" w:pos="8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программам</w:t>
        <w:tab/>
        <w:t>начального</w:t>
        <w:tab/>
        <w:t>общего,</w:t>
        <w:tab/>
        <w:t>основного</w:t>
        <w:tab/>
        <w:t>общего</w:t>
        <w:tab/>
        <w:t>и</w:t>
        <w:tab/>
        <w:t>среднего</w:t>
        <w:tab/>
        <w:t>общего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образования,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утвержденным приказом Минобрнауки от 30.08.2013 № 1015, и Уставом муниципального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бюджетного общеобразовательного учреждения «Средняя школа № 19» (далее – школа)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Настоящее Положение определяет формы, периодичность, порядок текущего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контроля успеваемости и промежуточной аттестации обучающихся школы по основным образовательным программам начального общего, основного общего и среднего общего образования, их перевод в следующий класс по итогам учебного года, а также порядок ликвидации академической задолженности.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Настоящее Положение принимается педагогическим советом, имеющим право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вносить в него свои изменения и дополнения. Положение утверждается руководителем школы.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Текущий контроль успеваемости и результаты промежуточной аттестации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являются частью системы внутришкольного мониторинга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Текущий контроль успеваемости и промежуточная аттестация по отдельным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Успешное прохождение учащимися промежуточной аттестации является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основанием для перевода в следующий класс, продолжения обучения в классах и допуска учащихся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х, 11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 классов к государственной (итоговой) аттестации. Решения по данным вопросам принимаются педагогическим советом школы.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Текущий контроль успеваемости</w:t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Текущий контроль успеваемости обучающихся – систематическая проверка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</w:t>
      </w:r>
    </w:p>
    <w:p>
      <w:pPr>
        <w:sectPr>
          <w:pgSz w:w="11900" w:h="16841" w:orient="portrait"/>
          <w:cols w:equalWidth="0" w:num="1">
            <w:col w:w="9620"/>
          </w:cols>
          <w:pgMar w:left="1440" w:top="1408" w:right="849" w:bottom="793" w:gutter="0" w:footer="0" w:header="0"/>
        </w:sectPr>
      </w:pPr>
    </w:p>
    <w:bookmarkStart w:id="1" w:name="page2"/>
    <w:bookmarkEnd w:id="1"/>
    <w:p>
      <w:pPr>
        <w:ind w:left="260"/>
        <w:spacing w:after="0"/>
        <w:tabs>
          <w:tab w:leader="none" w:pos="2220" w:val="left"/>
          <w:tab w:leader="none" w:pos="3300" w:val="left"/>
          <w:tab w:leader="none" w:pos="3580" w:val="left"/>
          <w:tab w:leader="none" w:pos="4340" w:val="left"/>
          <w:tab w:leader="none" w:pos="5720" w:val="left"/>
          <w:tab w:leader="none" w:pos="7280" w:val="left"/>
          <w:tab w:leader="none" w:pos="8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образовательного</w:t>
        <w:tab/>
        <w:t>процесса</w:t>
        <w:tab/>
        <w:t>в</w:t>
        <w:tab/>
        <w:t>целях</w:t>
        <w:tab/>
        <w:t>достижения</w:t>
        <w:tab/>
        <w:t>планируемых</w:t>
        <w:tab/>
        <w:t>результатов</w:t>
        <w:tab/>
        <w:t>освоения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основных общеобразовательных программ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предусмотренных федеральными государственными образовательными стандартами соответствующего уровня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2.2.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Текущий контроль успеваемости обучающихся осуществляется в целях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определения степени освоения обучающимися основной 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соответствующего уровня общего образования в течение учебного года по учебным предметам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дисциплинам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модулям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учебного плана 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коррекции рабочих программ учебных предметов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курсов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дисциплин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модулей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зависимости от анализа качества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темпа и особенностей освоения изученного материала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предупреждения неуспеваемости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Текущий контроль успеваемости проводится для всех обучающихся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исключением лиц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осваивающих основную образовательную программу в форме самообразования или семейного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зачисленных в школу для прохождения промежуточной и государственной итоговой аттестации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обучающихся заочной формы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Текущий контроль успеваемости обучающихся осуществляется педагогическим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работником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реализующим соответствующую часть 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самостоятельно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Текущий контроль успеваемости осуществляется поурочно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темам в соответствии с тематическим планированием рабочей программы учебного предмета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дисциплины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модуля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учетом требований федерального государственного образовательного стандарта соответствующего уровня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индивидуальных особенностей обучающихся класса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содержанием 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используемых образовательных технологий в формах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письменной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диктант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изложение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сочинение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реферат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эссе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контрольные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проверочные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самостоятельные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лабораторные и практические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устного ответа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том числе в форме опроса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защиты проекта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реферата или творческой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работы на семинаре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коллоквиуме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практикуме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диагностики образовательных достижений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стартовой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промежуточной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итоговой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иных формах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предусмотренных учебным планом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индивидуальным учебным планом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Текущий контроль успеваемости обучающихся первого класса в течение учебного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года осуществляется без балльного оценивания занятий обучающихся и домашних заданий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изучении элективных и факультативных курсов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предметов по выбору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изучение которых отводится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менее часов в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решению педагогического совета школы применяется без отметочная система оценивания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Текущий контроль успеваемости во втором и последующих классах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осуществляется по пятибалльной системе оценивания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письменных работ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результат прохождения которых фиксируется в баллах или иных значениях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разрабатывается шкала перерасчета полученного результата в отметку по пятибалльной шкале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Шкала перерасчета разрабатывается с учетом уровня сложности заданий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времени выполнения работы и иных характеристик письменной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2.8.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Отметки по установленным формам текущего контроля успеваемости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обучающихся фиксируются педагогическим работником в журнале успеваемости и дневнике обучающимся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2-4, 5-7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классов не позднее следующего урока по расписанию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учащимся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8-11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течение одной недели по литературе и математике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793" w:gutter="0" w:footer="0" w:header="0"/>
        </w:sectPr>
      </w:pPr>
    </w:p>
    <w:bookmarkStart w:id="2" w:name="page3"/>
    <w:bookmarkEnd w:id="2"/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остальным предметам не позднее следующего урока по расписанию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 сочинение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изложение и диктант с грамматическим заданием в журнал успеваемости выставляются две отметки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одна по учебному предмету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Русский язык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Родной язык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вторая по учебному предмету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Литературное чтение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 («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Литература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Литературное чтение на родном языке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 («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Родная литература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»).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2.9.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целях создания условий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отвечающих физиологическим особенностям учащихся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допускается проведение текущего контроля успеваемости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первый учебный день после каникул для всех обучающихся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первый учебный день после длительного пропуска занятий для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посещавших занятия по уважительной причине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допускается проведение более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одной контрольной работы в день в начальной школе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двух контрольных работ в день в средней и старшей школе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2.10.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Текущий контроль успеваемости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нуждающихся в длительном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лечении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которых организовано освоение основных общеобразовательных программ на дому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осуществляют педагогические работники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Отметки по установленным формам текущего контроля успеваемости обучающихся фиксируются в журнале обучения на дому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2.11.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Текущий контроль успеваемости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нуждающихся в длительном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лечении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которых организовано освоение основных общеобразовательных программ в медицинской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осуществляется данной организацией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Результаты успеваемости подтверждаются справкой об обучении в медицинской организации и учитываются в порядке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предусмотренном локальным нормативным актом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 w:line="238" w:lineRule="auto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2.12.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Отметки за триместр по каждому учебному предмету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дисциплине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модулю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tabs>
          <w:tab w:leader="none" w:pos="49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иным видам учебной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предусмотренных учебным планом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определяются как среднее арифметическое текущего контроля успеваемости и выставляются всем обучающимся школы в журнал успеваемости целыми числами в соответствии с правилами математического округления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2.13.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Обучающимся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пропустившим по уважительной причине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подтвержденной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соответствующими документами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более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процентов учебного времени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отметка за триместр не выставляется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обучающийся не аттестовывается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или выставляется на основе результатов письменной работы или устного ответа педагогическому работнику в формах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предусмотренных для текущего контроля успеваемости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пропущенному материалу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2.14.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Классные руководители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10-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 дневный срок доводят до сведения родителей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итоги триместровой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полугодовой аттестации путем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выставления отметок в дневники учащихся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или в письменной форме под подпись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учащихся с указанием даты ознакомления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случае неудовлетворительных результатов аттестации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500" w:hanging="240"/>
        <w:spacing w:after="0"/>
        <w:tabs>
          <w:tab w:leader="none" w:pos="50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Промежуточная аттестация обучающихся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65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Промежуточная аттестация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установление уровня освоения основной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образовательной программы общего образования соответствующего уровня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отдельной части или всего объема учебного предмета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дисциплины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модуля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Промежуточная аттестация обучающихся осуществляется в целях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объективного установления фактического уровня освоения 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 достижения результатов освоения основной 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соотнесения результатов освоения образовательной программы с требованиями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федеральных государственных образовательных стандартов соответствующего уровня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1440" w:gutter="0" w:footer="0" w:header="0"/>
        </w:sectPr>
      </w:pPr>
    </w:p>
    <w:bookmarkStart w:id="3" w:name="page4"/>
    <w:bookmarkEnd w:id="3"/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оценки достижений конкретного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позволяющей выявить пробелы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освоении им образовательной программы и учитывать индивидуальные потребности обучающегося в образовании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оценки динамики индивидуальных образовательных достижений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Промежуточная аттестация проводится для всех обучающихся школы со второго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Промежуточная аттестация обязательна для обучающихся всех форм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обучающихся по индивидуальному учебному плану и при ускоренном обучении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Сроки проведения промежуточной аттестации определяются календарным учебным графиком основной образовательной программой общего образования соответствующего уровня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индивидуальным учебным планом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Промежуточная аттестация проводится по итогам учебного года по каждому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учебному предмету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дисциплине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модулю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иным видам учебной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предусмотренным учебным планом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Промежуточная аттестация обучающихся осуществляется педагогическим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работником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реализующим соответствующую часть 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самостоятельно в форме годовой письменной работы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диктант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изложение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сочинение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комплексная или контрольная работа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годовой отметки по учебным предметам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дисциплинам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модулям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иным видам учебной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предусмотренным учебным планом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Промежуточная аттестация обучающихся осуществляется по пятибалльной системе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оценивания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письменных работ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результат прохождения которых фиксируется в баллах или иных значениях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разрабатывается шкала перерасчета полученного результата в отметку по пятибалльной шкале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Шкала перерасчета разрабатывается с учетом уровня сложности заданий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времени выполнения работы и иных характеристик письменной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Отметки за годовую письменную работу обучающихся фиксируются педагогическим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работником в журнале успеваемости и дневнике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 сочинение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изложение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tabs>
          <w:tab w:leader="none" w:pos="468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диктант с грамматическим заданием в журнал успеваемости выставляются две отметки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одна по учебному предмету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Русский язык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Родной язык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вторая по учебному предмету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Литературное чтение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 («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Литература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Литературное чтение на родном языке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 («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Родная литература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»).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3.8.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Педагогический работник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осуществляющий промежуточную аттестацию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обеспечивает повторное написание письменной работы обучающимися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получившими неудовлетворительную оценку за годовую письменную работу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проведение промежуточной аттестации по итогам учебного года для отсутствовавших ранее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3.9.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целях создания условий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отвечающих физиологическим особенностям учащихся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промежуточной аттестации по учебным предметам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дисциплинам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модулям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иным видам учебной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предусмотренным учебным планом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допускается проведение более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одной письменной работы в день в начальной школе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6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двух письменных работ в день в средней и старшей школе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3.10.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Промежуточную аттестацию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нуждающихся в длительном лечении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которых организовано освоение основных общеобразовательных программ на дому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осуществляют педагогические работники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Отметки по установленным формам промежуточной аттестации обучающихся фиксируются в журнале обучения на дому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Промежуточная аттестация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нуждающихся в длительном лечении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которых организовано освоение основных общеобразовательных программ в медицинской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осуществляется данной организацией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Результаты успеваемости подтверждаются справкой об обучении в медицинской организации и учитываются в порядке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предусмотренном локальным нормативным актом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1069" w:gutter="0" w:footer="0" w:header="0"/>
        </w:sectPr>
      </w:pPr>
    </w:p>
    <w:bookmarkStart w:id="4" w:name="page5"/>
    <w:bookmarkEnd w:id="4"/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Годовые отметки по каждому учебному предмету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курсу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дисциплине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модулю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иным видам учебной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предусмотренных учебным планом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определяются как среднее арифметическое триместровых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полугодовых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отметок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выставляются всем обучающимся школы в журнал успеваемости целыми числами в соответствии с правилами математического округления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Неудовлетворительные результаты промежуточной аттестации по одному 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нескольким учебным предметам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дисциплинам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модулям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иным видам учебной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предусмотренным учебным планом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или непрохождение промежуточной аттестации при отсутствии уважительных причин признаются академической задолженностью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Ликвидация академической задолженности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Обучающиеся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имеющие академическую задолженность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вправе пройти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промежуточную аттестацию по соответствующим учебному предмету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дисциплине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модулю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более двух раз в сроки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определяемые приказом директора школы 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основании решения педагогического совета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пределах одного года с момента образования академической задолженности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указанный период не включаются время болезни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нахождение его в академическом отпуске или отпуске по беременности и родам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Обучающиеся и экстерны обязаны ликвидировать академическую задолженность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учебным предметам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дисциплинам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модулям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установленные сроки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проведения промежуточной аттестации во второй раз приказом директора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школы создается комиссия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которая формируется по предметному принципу из не менее трех педагогических работников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Персональный состав комиссии утверждается приказом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Ликвидация академической задолженности осуществляется в форме письменной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работы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диктант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тестовая работа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контрольная работа и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Результаты ликвидации академической задолженности по соответствующему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учебному предмету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дисциплине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модулю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оформляются протоколом комиссии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Протоколы комиссии с результатами ликвидации академической задолженности обучающихся хранятся у заместителя директора по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воспитательной работе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Положительные результаты ликвидации академической задолженности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обучающихся фиксируются ответственным педагогическим работником в журнале успеваемости в порядке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предусмотренном настоящим Положением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Обучающиеся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ликвидировавшие в установленные сроки академической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задолженности с момента ее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усмотрению их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оставляются на повторное обучение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переводятся на обучение по адаптированным образовательным программам в соответствии с рекомендациями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медико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педагогической комиссии либо на обучение по индивидуальному учебному плану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1440" w:gutter="0" w:footer="0" w:header="0"/>
        </w:sectPr>
      </w:pPr>
    </w:p>
    <w:bookmarkStart w:id="5" w:name="page6"/>
    <w:bookmarkEnd w:id="5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Приложение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 положению о формах, периодичности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right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 порядке текущего контроля успеваемости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5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и промежуточной аттестации обучающихся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Форма уведомления родителей о непрохождении текущего или промежуточного контроля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Уважаемые _____________(ФИО родителей (законных представителей)!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Администрация МБОУ «СШ № 19» доводит до Вашего сведения, что Ваш ребенок ФИ ребенка, обучающаяся ___ класса, не освоил(а) учебную программу по _______ за ____ класс 20___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20____ учебного года и имеет академическую задолженность по данному(ым) предмету(ам).</w:t>
      </w: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Директор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Заместитель директора по УВР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Классный руководитель</w:t>
      </w:r>
    </w:p>
    <w:p>
      <w:pPr>
        <w:sectPr>
          <w:pgSz w:w="11900" w:h="16841" w:orient="portrait"/>
          <w:cols w:equalWidth="0" w:num="1">
            <w:col w:w="9620"/>
          </w:cols>
          <w:pgMar w:left="1440" w:top="1115" w:right="849" w:bottom="1440" w:gutter="0" w:footer="0" w:header="0"/>
        </w:sectPr>
      </w:pP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С уведомлением ознакомлен(а)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________________ ___________________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(подпись) (ФИО родителя)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center"/>
        <w:ind w:right="2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____________________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center"/>
        <w:ind w:right="2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(дата)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1" w:orient="portrait"/>
          <w:cols w:equalWidth="0" w:num="2">
            <w:col w:w="4460" w:space="520"/>
            <w:col w:w="4640"/>
          </w:cols>
          <w:pgMar w:left="1440" w:top="1115" w:right="849" w:bottom="1440" w:gutter="0" w:footer="0" w:header="0"/>
          <w:type w:val="continuous"/>
        </w:sectPr>
      </w:pP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Оформляется в двух экземплярах, регистрируется в журнале исходящих писем</w:t>
      </w:r>
    </w:p>
    <w:sectPr>
      <w:pgSz w:w="11900" w:h="16841" w:orient="portrait"/>
      <w:cols w:equalWidth="0" w:num="1">
        <w:col w:w="9620"/>
      </w:cols>
      <w:pgMar w:left="1440" w:top="1115" w:right="84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2EB141F2"/>
    <w:multiLevelType w:val="hybridMultilevel"/>
    <w:lvl w:ilvl="0">
      <w:lvlJc w:val="left"/>
      <w:lvlText w:val="о"/>
      <w:numFmt w:val="bullet"/>
      <w:start w:val="1"/>
    </w:lvl>
  </w:abstractNum>
  <w:abstractNum w:abstractNumId="1">
    <w:nsid w:val="41B71EFB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79E2A9E3"/>
    <w:multiLevelType w:val="hybridMultilevel"/>
    <w:lvl w:ilvl="0">
      <w:lvlJc w:val="left"/>
      <w:lvlText w:val="%1."/>
      <w:numFmt w:val="decimal"/>
      <w:start w:val="2"/>
    </w:lvl>
  </w:abstractNum>
  <w:abstractNum w:abstractNumId="3">
    <w:nsid w:val="7545E146"/>
    <w:multiLevelType w:val="hybridMultilevel"/>
    <w:lvl w:ilvl="0">
      <w:lvlJc w:val="left"/>
      <w:lvlText w:val="\endash "/>
      <w:numFmt w:val="bullet"/>
      <w:start w:val="1"/>
    </w:lvl>
  </w:abstractNum>
  <w:abstractNum w:abstractNumId="4">
    <w:nsid w:val="515F007C"/>
    <w:multiLevelType w:val="hybridMultilevel"/>
    <w:lvl w:ilvl="0">
      <w:lvlJc w:val="left"/>
      <w:lvlText w:val="\endash "/>
      <w:numFmt w:val="bullet"/>
      <w:start w:val="1"/>
    </w:lvl>
  </w:abstractNum>
  <w:abstractNum w:abstractNumId="5">
    <w:nsid w:val="5BD062C2"/>
    <w:multiLevelType w:val="hybridMultilevel"/>
    <w:lvl w:ilvl="0">
      <w:lvlJc w:val="left"/>
      <w:lvlText w:val="\endash "/>
      <w:numFmt w:val="bullet"/>
      <w:start w:val="1"/>
    </w:lvl>
  </w:abstractNum>
  <w:abstractNum w:abstractNumId="6">
    <w:nsid w:val="12200854"/>
    <w:multiLevelType w:val="hybridMultilevel"/>
    <w:lvl w:ilvl="0">
      <w:lvlJc w:val="left"/>
      <w:lvlText w:val="и"/>
      <w:numFmt w:val="bullet"/>
      <w:start w:val="1"/>
    </w:lvl>
  </w:abstractNum>
  <w:abstractNum w:abstractNumId="7">
    <w:nsid w:val="4DB127F8"/>
    <w:multiLevelType w:val="hybridMultilevel"/>
    <w:lvl w:ilvl="0">
      <w:lvlJc w:val="left"/>
      <w:lvlText w:val="%1."/>
      <w:numFmt w:val="decimal"/>
      <w:start w:val="3"/>
    </w:lvl>
  </w:abstractNum>
  <w:abstractNum w:abstractNumId="8">
    <w:nsid w:val="216231B"/>
    <w:multiLevelType w:val="hybridMultilevel"/>
    <w:lvl w:ilvl="0">
      <w:lvlJc w:val="left"/>
      <w:lvlText w:val="\endash "/>
      <w:numFmt w:val="bullet"/>
      <w:start w:val="1"/>
    </w:lvl>
  </w:abstractNum>
  <w:abstractNum w:abstractNumId="9">
    <w:nsid w:val="1F16E9E8"/>
    <w:multiLevelType w:val="hybridMultilevel"/>
    <w:lvl w:ilvl="0">
      <w:lvlJc w:val="left"/>
      <w:lvlText w:val="\endash "/>
      <w:numFmt w:val="bullet"/>
      <w:start w:val="1"/>
    </w:lvl>
  </w:abstractNum>
  <w:abstractNum w:abstractNumId="10">
    <w:nsid w:val="1190CDE7"/>
    <w:multiLevelType w:val="hybridMultilevel"/>
    <w:lvl w:ilvl="0">
      <w:lvlJc w:val="left"/>
      <w:lvlText w:val="и"/>
      <w:numFmt w:val="bullet"/>
      <w:start w:val="1"/>
    </w:lvl>
  </w:abstractNum>
  <w:abstractNum w:abstractNumId="11">
    <w:nsid w:val="66EF438D"/>
    <w:multiLevelType w:val="hybridMultilevel"/>
    <w:lvl w:ilvl="0">
      <w:lvlJc w:val="left"/>
      <w:lvlText w:val="%1."/>
      <w:numFmt w:val="decimal"/>
      <w:start w:val="4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2020-09-12T15:59:49Z</dcterms:created>
  <dcterms:modified xsi:type="dcterms:W3CDTF">2020-09-12T15:59:49Z</dcterms:modified>
</cp:coreProperties>
</file>