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FF" w:rsidRDefault="008D2EFF" w:rsidP="008D2EFF">
      <w:pPr>
        <w:shd w:val="clear" w:color="auto" w:fill="FFFFFF"/>
        <w:spacing w:line="274" w:lineRule="exact"/>
        <w:ind w:left="1378" w:firstLine="3509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8D2EFF" w:rsidRDefault="008D2EFF" w:rsidP="008D2EFF">
      <w:pPr>
        <w:shd w:val="clear" w:color="auto" w:fill="FFFFFF"/>
        <w:spacing w:line="274" w:lineRule="exact"/>
        <w:ind w:left="1378" w:firstLine="3509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D92B0B" w:rsidRPr="00A12811" w:rsidRDefault="008D2EFF" w:rsidP="00D92B0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92B0B" w:rsidRPr="00A12811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D92B0B" w:rsidRPr="00A12811" w:rsidRDefault="00D92B0B" w:rsidP="00D92B0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2811">
        <w:rPr>
          <w:rFonts w:ascii="Times New Roman" w:hAnsi="Times New Roman" w:cs="Times New Roman"/>
          <w:color w:val="000000"/>
          <w:sz w:val="24"/>
          <w:szCs w:val="24"/>
        </w:rPr>
        <w:t>Директор МБОУ СШ№19</w:t>
      </w:r>
    </w:p>
    <w:p w:rsidR="00D92B0B" w:rsidRPr="00A12811" w:rsidRDefault="00D92B0B" w:rsidP="00D92B0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2811">
        <w:rPr>
          <w:rFonts w:ascii="Times New Roman" w:hAnsi="Times New Roman" w:cs="Times New Roman"/>
          <w:color w:val="000000"/>
          <w:sz w:val="24"/>
          <w:szCs w:val="24"/>
        </w:rPr>
        <w:t>______________ Л.В. Зайцева</w:t>
      </w:r>
    </w:p>
    <w:p w:rsidR="00D92B0B" w:rsidRDefault="00D92B0B" w:rsidP="00D92B0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811">
        <w:rPr>
          <w:rFonts w:ascii="Times New Roman" w:hAnsi="Times New Roman" w:cs="Times New Roman"/>
          <w:color w:val="000000"/>
          <w:sz w:val="24"/>
          <w:szCs w:val="24"/>
        </w:rPr>
        <w:t>« 02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Pr="00A12811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2019 г.</w:t>
      </w:r>
    </w:p>
    <w:p w:rsidR="008D2EFF" w:rsidRDefault="008D2EFF" w:rsidP="00D92B0B">
      <w:pPr>
        <w:ind w:firstLine="1134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</w:p>
    <w:p w:rsidR="008D2EFF" w:rsidRDefault="008D2EFF" w:rsidP="008D2EFF">
      <w:pPr>
        <w:shd w:val="clear" w:color="auto" w:fill="FFFFFF"/>
        <w:spacing w:line="274" w:lineRule="exact"/>
        <w:ind w:left="1378" w:firstLine="3509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</w:p>
    <w:p w:rsidR="008D2EFF" w:rsidRDefault="008D2EFF" w:rsidP="008D2EFF">
      <w:pPr>
        <w:shd w:val="clear" w:color="auto" w:fill="FFFFFF"/>
        <w:spacing w:line="274" w:lineRule="exact"/>
        <w:ind w:left="1378" w:firstLine="3509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</w:p>
    <w:p w:rsidR="008D2EFF" w:rsidRDefault="008D2EFF" w:rsidP="008D2EF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Матрица доступа </w:t>
      </w:r>
      <w:r w:rsidR="00D92B0B">
        <w:rPr>
          <w:rFonts w:ascii="Times New Roman" w:hAnsi="Times New Roman" w:cs="Times New Roman"/>
          <w:color w:val="000000"/>
          <w:spacing w:val="7"/>
          <w:sz w:val="24"/>
          <w:szCs w:val="24"/>
        </w:rPr>
        <w:t>МБОУ СШ №19</w:t>
      </w:r>
    </w:p>
    <w:p w:rsidR="008D2EFF" w:rsidRDefault="008D2EFF" w:rsidP="008D2EFF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97897" w:rsidRDefault="00D92B0B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7897" w:rsidRPr="00097897">
        <w:rPr>
          <w:rFonts w:ascii="Times New Roman" w:hAnsi="Times New Roman" w:cs="Times New Roman"/>
          <w:color w:val="000000"/>
          <w:sz w:val="24"/>
          <w:szCs w:val="24"/>
        </w:rPr>
        <w:t>Матрица доступа отражает права всех групп субъектов доступа ИСПДн на действия с персональными данными. Действия (оп</w:t>
      </w:r>
      <w:r w:rsidR="003C5C70">
        <w:rPr>
          <w:rFonts w:ascii="Times New Roman" w:hAnsi="Times New Roman" w:cs="Times New Roman"/>
          <w:color w:val="000000"/>
          <w:sz w:val="24"/>
          <w:szCs w:val="24"/>
        </w:rPr>
        <w:t>ерации) с персональными данными</w:t>
      </w:r>
      <w:r w:rsidR="00097897" w:rsidRPr="00097897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данных). При описании матрицы доступа использованы следующие основные группы субъектов доступа ИСПДн: </w:t>
      </w:r>
    </w:p>
    <w:p w:rsidR="00754E77" w:rsidRDefault="00754E7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897" w:rsidRDefault="0009789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897">
        <w:rPr>
          <w:rFonts w:ascii="Times New Roman" w:hAnsi="Times New Roman" w:cs="Times New Roman"/>
          <w:color w:val="000000"/>
          <w:sz w:val="24"/>
          <w:szCs w:val="24"/>
        </w:rPr>
        <w:t>- Администраторы ИСПДн, осуществляющие настройку и установку технических средств ИСПДн и обеспечи</w:t>
      </w:r>
      <w:r>
        <w:rPr>
          <w:rFonts w:ascii="Times New Roman" w:hAnsi="Times New Roman" w:cs="Times New Roman"/>
          <w:color w:val="000000"/>
          <w:sz w:val="24"/>
          <w:szCs w:val="24"/>
        </w:rPr>
        <w:t>вающие ее бесперебойную работу;</w:t>
      </w:r>
    </w:p>
    <w:p w:rsidR="00097897" w:rsidRDefault="0009789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897">
        <w:rPr>
          <w:rFonts w:ascii="Times New Roman" w:hAnsi="Times New Roman" w:cs="Times New Roman"/>
          <w:color w:val="000000"/>
          <w:sz w:val="24"/>
          <w:szCs w:val="24"/>
        </w:rPr>
        <w:t>- Разработчики ИСПДн, осуществляющие разработку и поддержку программного обеспечения собственной разработки или стандартных программ, специально дора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ботанных под нужды организации;</w:t>
      </w:r>
    </w:p>
    <w:p w:rsidR="00097897" w:rsidRDefault="0009789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897">
        <w:rPr>
          <w:rFonts w:ascii="Times New Roman" w:hAnsi="Times New Roman" w:cs="Times New Roman"/>
          <w:color w:val="000000"/>
          <w:sz w:val="24"/>
          <w:szCs w:val="24"/>
        </w:rPr>
        <w:t xml:space="preserve">- Операторы ИСПДн, осуществляющие текущую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с персональными данными:</w:t>
      </w:r>
    </w:p>
    <w:p w:rsidR="009D6D2D" w:rsidRPr="00EC06A2" w:rsidRDefault="0009789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A2">
        <w:rPr>
          <w:rFonts w:ascii="Times New Roman" w:hAnsi="Times New Roman" w:cs="Times New Roman"/>
          <w:color w:val="000000"/>
          <w:sz w:val="24"/>
          <w:szCs w:val="24"/>
        </w:rPr>
        <w:t>- Заявители ИСПДн, родители (законные представители) детей</w:t>
      </w:r>
      <w:r w:rsidR="003C5C70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EC06A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осуществляющие подачу заявления из «Личного кабинета» и получение информации через региональный портал государственных услуг, единый портал государственных услуг. Типовая матрица доступа для ИСПДн представлена в таблице 1</w:t>
      </w:r>
    </w:p>
    <w:p w:rsidR="00097897" w:rsidRPr="00EC06A2" w:rsidRDefault="0009789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897" w:rsidRDefault="00097897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6A2" w:rsidRPr="00EC06A2" w:rsidRDefault="00EC06A2" w:rsidP="00097897">
      <w:pPr>
        <w:shd w:val="clear" w:color="auto" w:fill="FFFFFF"/>
        <w:tabs>
          <w:tab w:val="left" w:pos="1277"/>
        </w:tabs>
        <w:spacing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897" w:rsidRPr="00EC06A2" w:rsidRDefault="00EC06A2" w:rsidP="00EC06A2">
      <w:pPr>
        <w:shd w:val="clear" w:color="auto" w:fill="FFFFFF"/>
        <w:tabs>
          <w:tab w:val="left" w:pos="1277"/>
        </w:tabs>
        <w:spacing w:line="29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C06A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687"/>
      </w:tblGrid>
      <w:tr w:rsidR="00EC06A2" w:rsidTr="00EC06A2">
        <w:tc>
          <w:tcPr>
            <w:tcW w:w="1838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Типовая роль</w:t>
            </w:r>
          </w:p>
        </w:tc>
        <w:tc>
          <w:tcPr>
            <w:tcW w:w="4820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Уровень доступа к ПДн</w:t>
            </w:r>
          </w:p>
        </w:tc>
        <w:tc>
          <w:tcPr>
            <w:tcW w:w="2687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Разрешенные действия</w:t>
            </w:r>
          </w:p>
        </w:tc>
      </w:tr>
      <w:tr w:rsidR="00EC06A2" w:rsidTr="00EC06A2">
        <w:tc>
          <w:tcPr>
            <w:tcW w:w="1838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Администратор ИСПДн</w:t>
            </w:r>
          </w:p>
        </w:tc>
        <w:tc>
          <w:tcPr>
            <w:tcW w:w="4820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Обладает полной информацией о системном и прикладном программном обеспечении ИСПДн. Обладает полной информацией о технических средствах и конфигурации ИСПДн. Имеет доступ ко всем техническим средствам обработки информации и данным ИСПДн.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Обладает правами конфигурирования и административной настройки технических средств ИСПДн.</w:t>
            </w:r>
          </w:p>
        </w:tc>
        <w:tc>
          <w:tcPr>
            <w:tcW w:w="2687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сбор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хранение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обезличивание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- блокирование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 - уничтожение</w:t>
            </w:r>
          </w:p>
        </w:tc>
      </w:tr>
      <w:tr w:rsidR="00EC06A2" w:rsidTr="00EC06A2">
        <w:tc>
          <w:tcPr>
            <w:tcW w:w="1838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Разработчик ИСПДн</w:t>
            </w:r>
          </w:p>
        </w:tc>
        <w:tc>
          <w:tcPr>
            <w:tcW w:w="4820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Обладает информацией об алгоритмах и программах обработки информации на ИСПДн. Обладает правами внесения изменений в программное обеспечение ИСПДн на стадии ее разработки, внедрения и сопровождения. Располагает всей информаций о топологии ИСПДн и технических средствах обработки и защиты ПДн, обрабатываемых в ИСПДн</w:t>
            </w:r>
          </w:p>
        </w:tc>
        <w:tc>
          <w:tcPr>
            <w:tcW w:w="2687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блокирование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- уничтожение</w:t>
            </w:r>
          </w:p>
        </w:tc>
      </w:tr>
      <w:tr w:rsidR="00EC06A2" w:rsidTr="00EC06A2">
        <w:tc>
          <w:tcPr>
            <w:tcW w:w="1838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Оператор ИСПДн</w:t>
            </w:r>
          </w:p>
        </w:tc>
        <w:tc>
          <w:tcPr>
            <w:tcW w:w="4820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Обладает правами доступа к подмножеству ПДн. Располагает информацией о топологии ИСПДн на базе локальной и (или) распределенной информационной системам, через которую он осуществляет доступ, и составе технических средств ИСПДн</w:t>
            </w:r>
          </w:p>
        </w:tc>
        <w:tc>
          <w:tcPr>
            <w:tcW w:w="2687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сбор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хранение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- обезличивание</w:t>
            </w:r>
          </w:p>
        </w:tc>
      </w:tr>
      <w:tr w:rsidR="00EC06A2" w:rsidTr="00EC06A2">
        <w:tc>
          <w:tcPr>
            <w:tcW w:w="1838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Заявители ИСПДн</w:t>
            </w:r>
          </w:p>
        </w:tc>
        <w:tc>
          <w:tcPr>
            <w:tcW w:w="4820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Обладает правами доступа к подмножеству ПДн.</w:t>
            </w:r>
          </w:p>
        </w:tc>
        <w:tc>
          <w:tcPr>
            <w:tcW w:w="2687" w:type="dxa"/>
          </w:tcPr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</w:p>
          <w:p w:rsidR="00EC06A2" w:rsidRPr="00EC06A2" w:rsidRDefault="00EC06A2" w:rsidP="00EC06A2">
            <w:pPr>
              <w:tabs>
                <w:tab w:val="left" w:pos="127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2">
              <w:rPr>
                <w:rFonts w:ascii="Times New Roman" w:hAnsi="Times New Roman" w:cs="Times New Roman"/>
                <w:sz w:val="24"/>
                <w:szCs w:val="24"/>
              </w:rPr>
              <w:t>- распространение</w:t>
            </w:r>
          </w:p>
        </w:tc>
      </w:tr>
    </w:tbl>
    <w:p w:rsidR="00EC06A2" w:rsidRDefault="00EC06A2" w:rsidP="00EC06A2">
      <w:pPr>
        <w:shd w:val="clear" w:color="auto" w:fill="FFFFFF"/>
        <w:tabs>
          <w:tab w:val="left" w:pos="1277"/>
        </w:tabs>
        <w:spacing w:line="293" w:lineRule="exact"/>
        <w:jc w:val="both"/>
      </w:pPr>
    </w:p>
    <w:sectPr w:rsidR="00EC06A2" w:rsidSect="009D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84BCE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4FC101F"/>
    <w:multiLevelType w:val="hybridMultilevel"/>
    <w:tmpl w:val="6B6E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F"/>
    <w:rsid w:val="00097897"/>
    <w:rsid w:val="00183D6B"/>
    <w:rsid w:val="002E79CA"/>
    <w:rsid w:val="00396371"/>
    <w:rsid w:val="003C5C70"/>
    <w:rsid w:val="004B4D04"/>
    <w:rsid w:val="00754E77"/>
    <w:rsid w:val="007F1058"/>
    <w:rsid w:val="008D2EFF"/>
    <w:rsid w:val="009D6D2D"/>
    <w:rsid w:val="00C85849"/>
    <w:rsid w:val="00D23FF7"/>
    <w:rsid w:val="00D92B0B"/>
    <w:rsid w:val="00E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EC2D"/>
  <w15:docId w15:val="{3E3F2901-E876-4B06-811E-8220486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Антон В. Кулачок</cp:lastModifiedBy>
  <cp:revision>5</cp:revision>
  <dcterms:created xsi:type="dcterms:W3CDTF">2019-08-25T17:28:00Z</dcterms:created>
  <dcterms:modified xsi:type="dcterms:W3CDTF">2019-08-29T04:02:00Z</dcterms:modified>
</cp:coreProperties>
</file>