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34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jc w:val="right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3000" w:right="660" w:hanging="2091"/>
        <w:spacing w:after="0" w:line="231" w:lineRule="auto"/>
        <w:tabs>
          <w:tab w:leader="none" w:pos="1141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приеме в 10 класс в Муниципальном бюджетном общеобразовательном учреждении «Средняя школа №19»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384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(МБОУ «СШ №19»)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Общие положения</w:t>
      </w:r>
    </w:p>
    <w:p>
      <w:pPr>
        <w:ind w:left="260"/>
        <w:spacing w:after="0" w:line="237" w:lineRule="auto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Положение разработано в соответствии: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tabs>
          <w:tab w:leader="none" w:pos="96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 федеральным законом от 29.12.2012 №273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«Об образовании в Российской Федерации»;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5" w:lineRule="auto"/>
        <w:tabs>
          <w:tab w:leader="none" w:pos="96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приказом Министерства образования и науки Российской Федерации от 22.01.2014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8" w:lineRule="auto"/>
        <w:tabs>
          <w:tab w:leader="none" w:pos="1031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постановлением Правительства ХМАО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Югры от 09 августа 2013 г. № 303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 «О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 (с изменениями от 09.09.2016года №346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Положение регламентирует прием на обучение в 10 класс для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получения среднего общего образования с углубленным изучением отдельных учебных предметов или для профильного обучения.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5" w:lineRule="auto"/>
        <w:tabs>
          <w:tab w:leader="none" w:pos="96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организации индивидуального отбора при приеме либо переводе в МБОУ «СШ №19» для получения среднего общего образования с углубленным изучением отдельных учебных предметов или для профильного обучения (далее – Порядок).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tabs>
          <w:tab w:leader="none" w:pos="447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Индивидуальный отбор обучающихся в 10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профильные классы начинается после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выдачи аттестатов об основном общем образовании в сроки, установленные образовательным учреждением.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tabs>
          <w:tab w:leader="none" w:pos="447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Участниками индивидуального отбора при приеме в профильные классы могут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быть все обучающиеся, проживающиеся на территории Ханты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Мансийского автономного округа – Югры и соответствующие не менее, чем одному критерию, предусмотренных настоящим Положением (п.2.5.).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tabs>
          <w:tab w:leader="none" w:pos="447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Родители (законные представители) подают заявление на имя директора МБОУ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«СШ № 19» не позднее 10 дней до срока проведения индивидуального отбора, установленного образовательным учреждением.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tabs>
          <w:tab w:leader="none" w:pos="447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приема в 10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й класс необходимо предоставить в общеобразовательное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учреждение следующие документы: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заявление родителей (законных представителей) о приеме в 10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й класс на имя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директора МБОУ «СШ№19»;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ведомость успеваемости (или аттестат об основном общем образовании);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паспорт обучающегося (свидетельство о рождении)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документы, подтверждающие достижения в олимпиадах, интеллектуальных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спортивных состязаниях (ГТО), конкурсных мероприятиях различных уровней (школьного, муниципального, регионального, всероссийского, международного за последние 2 года) по учебным предметам, соответствующим направлению углублённого изучения отдельных предметов или профильного обучения за курс основного общего образования.», свидетельствующие об очном, непосредственном участии претендента на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1065" w:gutter="0" w:footer="0" w:header="0"/>
        </w:sectPr>
      </w:pPr>
    </w:p>
    <w:bookmarkStart w:id="1" w:name="page2"/>
    <w:bookmarkEnd w:id="1"/>
    <w:p>
      <w:pPr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участие в конкурсном отборе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исключающие дистанционное опосредованное участие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с использованием телекоммуникационной сети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Интернет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Индивидуальный отбор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10-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классы осуществляется на основании следующих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критериев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640" w:val="left"/>
          <w:tab w:leader="none" w:pos="1680" w:val="left"/>
          <w:tab w:leader="none" w:pos="2840" w:val="left"/>
          <w:tab w:leader="none" w:pos="3880" w:val="left"/>
          <w:tab w:leader="none" w:pos="5100" w:val="left"/>
          <w:tab w:leader="none" w:pos="5440" w:val="left"/>
          <w:tab w:leader="none" w:pos="6720" w:val="left"/>
          <w:tab w:leader="none" w:pos="71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наличие</w:t>
        <w:tab/>
        <w:t>итоговых</w:t>
        <w:tab/>
        <w:t>отметок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хорошо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отлично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соответствующему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)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предмету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изучение которого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предполагается на углублённом или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профильном уровне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 предшествующий и текущий периоды обучения за курс основного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0"/>
        <w:spacing w:after="0"/>
        <w:tabs>
          <w:tab w:leader="none" w:pos="600" w:val="left"/>
          <w:tab w:leader="none" w:pos="1600" w:val="left"/>
          <w:tab w:leader="none" w:pos="3360" w:val="left"/>
          <w:tab w:leader="none" w:pos="4640" w:val="left"/>
          <w:tab w:leader="none" w:pos="5160" w:val="left"/>
          <w:tab w:leader="none" w:pos="6480" w:val="left"/>
          <w:tab w:leader="none" w:pos="78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наличие</w:t>
        <w:tab/>
        <w:t>положительных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хорошо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отлично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результатов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государственной</w:t>
      </w:r>
    </w:p>
    <w:p>
      <w:pPr>
        <w:ind w:left="260"/>
        <w:spacing w:after="0"/>
        <w:tabs>
          <w:tab w:leader="none" w:pos="1400" w:val="left"/>
          <w:tab w:leader="none" w:pos="2760" w:val="left"/>
          <w:tab w:leader="none" w:pos="3200" w:val="left"/>
          <w:tab w:leader="none" w:pos="3880" w:val="left"/>
          <w:tab w:leader="none" w:pos="5160" w:val="left"/>
          <w:tab w:leader="none" w:pos="6160" w:val="left"/>
          <w:tab w:leader="none" w:pos="7660" w:val="left"/>
          <w:tab w:leader="none" w:pos="8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итоговой</w:t>
        <w:tab/>
        <w:t>аттестации</w:t>
        <w:tab/>
        <w:t>за</w:t>
        <w:tab/>
        <w:t>курс</w:t>
        <w:tab/>
        <w:t>основного</w:t>
        <w:tab/>
        <w:t>общего</w:t>
        <w:tab/>
        <w:t>образования</w:t>
        <w:tab/>
        <w:t>по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учебному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ым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)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предмету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изучение которого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предполагается на углублённом  или профильном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уровне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наличие документов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подтверждающих достижения в олимпиадах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интеллектуальных и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спортивных состязаниях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конкурсных мероприятиях различных уровней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школьного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муниципального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регионального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всероссийского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международного 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последние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учебным предметам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соответствующим направлению углублённого изучения отдельных предметов или профильного обучения за курс основного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.»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Документы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представленные выпускниками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9-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 классов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регистрируются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секретариате образовательного учреждения в журнале приеме заявлений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После регистрации заявлений заявителю выдается документ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содержащий следующую информацию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входящий номер заявления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966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перечень представленных документов и отметка об их получении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заверенная подписью секретаря или ответственного за прием документов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сведения о сроках уведомления о зачислении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1" w:lineRule="auto"/>
        <w:tabs>
          <w:tab w:leader="none" w:pos="966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контактные телефоны образовательного учреждения для получения дополнительной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Индивидуальный отбор обучающихся осуществляется комиссией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создаваемой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руководителем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состав которой включаются педагоги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предметники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руководители предметных методических объединений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заместитель руководителя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курирующий вопросы качества обучения по программам профильного обучения среднего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представители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педагогической службы и органа государственно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общественного управления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2.8.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Индивидуальный отбор осуществляется в три этапа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этап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проведение экспертизы документов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указанных в пункте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2.4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согласно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критериям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предусмотренным пунктом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Порядка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этап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составление рейтинга обучающихся по профилям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этап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принятие решения о зачислении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2.9.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Экспертиза документов проводить по балльной системе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1" w:lineRule="auto"/>
        <w:tabs>
          <w:tab w:leader="none" w:pos="966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отметка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хорошо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отлично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соответствующему учебному предмету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балла за один предмет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5" w:lineRule="auto"/>
        <w:tabs>
          <w:tab w:leader="none" w:pos="966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достижения школьного уровня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балл за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достижение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призовое место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не более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баллов за все достижения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1" w:lineRule="auto"/>
        <w:tabs>
          <w:tab w:leader="none" w:pos="966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достижения муниципального уровня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баллов за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достижение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призовое место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более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18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баллов за все достижения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966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достижения регионального уровня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баллов за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достижение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призовое место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более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40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баллов за все достижения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5" w:lineRule="auto"/>
        <w:tabs>
          <w:tab w:leader="none" w:pos="966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достижения всероссийского уровня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баллов за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достижение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призовое место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более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50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баллов за все достижения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966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достижения международного уровня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баллов за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достижение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призовое место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более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60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баллов за все достижения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792" w:gutter="0" w:footer="0" w:header="0"/>
        </w:sectPr>
      </w:pPr>
    </w:p>
    <w:bookmarkStart w:id="2" w:name="page3"/>
    <w:bookmarkEnd w:id="2"/>
    <w:p>
      <w:pPr>
        <w:jc w:val="both"/>
        <w:ind w:left="26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2.10.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Рейтинг обучающихся составляется по мере убывания набранных ими баллов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оформляется протоколом комиссии не позднее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дней после проведения первого этапа индивидуального отбора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равных результатах индивидуального отбора учитывается средний балл ведомости успеваемости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аттестата об основном общем образовании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исчисляемый как среднее арифметическое суммы промежуточных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итоговых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отметок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Рейтинг обучающихся доводится до сведения родителей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через официальный сайт школы и информационные стенды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Зачисление обучающихся осуществляется на основании протокола комиссии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результатам индивидуального отбора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рейтинга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оформляется приказом директора не позднее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дней до начала учебного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Информация об итогах индивидуального отбора и зачисления доводится до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размещается на сайте школы в сети Интернет не позднее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дней после зачисления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переводе обучающегося из другой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реализующей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общеобразовательную программу соответствующего уровня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обучающийся зачисляется при наличии свободных мест в школе в соответствии с критериями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изложенными в пункте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Положения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Всех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зачисленных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10-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классы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их родителей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образовательное учреждение обязано ознакомить с Уставом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лицензией на право ведения образовательной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свидетельством о государственной аккредитации и другими документами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регламентирующими деятельность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sectPr>
      <w:pgSz w:w="11900" w:h="16841" w:orient="portrait"/>
      <w:cols w:equalWidth="0" w:num="1">
        <w:col w:w="9620"/>
      </w:cols>
      <w:pgMar w:left="1440" w:top="1144" w:right="84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38E1F29"/>
    <w:multiLevelType w:val="hybridMultilevel"/>
    <w:lvl w:ilvl="0">
      <w:lvlJc w:val="left"/>
      <w:lvlText w:val="%1."/>
      <w:numFmt w:val="decimal"/>
    </w:lvl>
    <w:lvl w:ilvl="1">
      <w:lvlJc w:val="left"/>
      <w:lvlText w:val="о"/>
      <w:numFmt w:val="bullet"/>
      <w:start w:val="1"/>
    </w:lvl>
  </w:abstractNum>
  <w:abstractNum w:abstractNumId="1">
    <w:nsid w:val="46E87CCD"/>
    <w:multiLevelType w:val="hybridMultilevel"/>
    <w:lvl w:ilvl="0">
      <w:lvlJc w:val="left"/>
      <w:lvlText w:val="-"/>
      <w:numFmt w:val="bullet"/>
      <w:start w:val="1"/>
    </w:lvl>
  </w:abstractNum>
  <w:abstractNum w:abstractNumId="2">
    <w:nsid w:val="3D1B58BA"/>
    <w:multiLevelType w:val="hybridMultilevel"/>
    <w:lvl w:ilvl="0">
      <w:lvlJc w:val="left"/>
      <w:lvlText w:val="%1."/>
      <w:numFmt w:val="decimal"/>
      <w:start w:val="2"/>
    </w:lvl>
  </w:abstractNum>
  <w:abstractNum w:abstractNumId="3">
    <w:nsid w:val="507ED7AB"/>
    <w:multiLevelType w:val="hybridMultilevel"/>
    <w:lvl w:ilvl="0">
      <w:lvlJc w:val="left"/>
      <w:lvlText w:val="%1."/>
      <w:numFmt w:val="decimal"/>
      <w:start w:val="2"/>
    </w:lvl>
  </w:abstractNum>
  <w:abstractNum w:abstractNumId="4">
    <w:nsid w:val="2EB141F2"/>
    <w:multiLevelType w:val="hybridMultilevel"/>
    <w:lvl w:ilvl="0">
      <w:lvlJc w:val="left"/>
      <w:lvlText w:val="%1."/>
      <w:numFmt w:val="decimal"/>
      <w:start w:val="2"/>
    </w:lvl>
  </w:abstractNum>
  <w:abstractNum w:abstractNumId="5">
    <w:nsid w:val="41B71EFB"/>
    <w:multiLevelType w:val="hybridMultilevel"/>
    <w:lvl w:ilvl="0">
      <w:lvlJc w:val="left"/>
      <w:lvlText w:val="%1."/>
      <w:numFmt w:val="decimal"/>
      <w:start w:val="2"/>
    </w:lvl>
  </w:abstractNum>
  <w:abstractNum w:abstractNumId="6">
    <w:nsid w:val="79E2A9E3"/>
    <w:multiLevelType w:val="hybridMultilevel"/>
    <w:lvl w:ilvl="0">
      <w:lvlJc w:val="left"/>
      <w:lvlText w:val="%1."/>
      <w:numFmt w:val="decimal"/>
      <w:start w:val="2"/>
    </w:lvl>
  </w:abstractNum>
  <w:abstractNum w:abstractNumId="7">
    <w:nsid w:val="7545E146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2020-09-12T15:59:22Z</dcterms:created>
  <dcterms:modified xsi:type="dcterms:W3CDTF">2020-09-12T15:59:22Z</dcterms:modified>
</cp:coreProperties>
</file>