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B8" w:rsidRPr="00792FB8" w:rsidRDefault="00792FB8" w:rsidP="00792FB8">
      <w:pPr>
        <w:spacing w:after="0"/>
        <w:jc w:val="center"/>
        <w:rPr>
          <w:rFonts w:ascii="Times New Roman" w:eastAsia="Times New Roman" w:hAnsi="Times New Roman" w:cs="Times New Roman"/>
          <w:color w:val="8C0000"/>
          <w:sz w:val="28"/>
          <w:szCs w:val="28"/>
          <w:lang w:eastAsia="ru-RU"/>
        </w:rPr>
      </w:pPr>
    </w:p>
    <w:tbl>
      <w:tblPr>
        <w:tblW w:w="10358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3"/>
        <w:gridCol w:w="12"/>
        <w:gridCol w:w="585"/>
      </w:tblGrid>
      <w:tr w:rsidR="00792FB8" w:rsidRPr="00792FB8" w:rsidTr="007F523D">
        <w:trPr>
          <w:tblCellSpacing w:w="0" w:type="dxa"/>
        </w:trPr>
        <w:tc>
          <w:tcPr>
            <w:tcW w:w="10358" w:type="dxa"/>
            <w:gridSpan w:val="3"/>
            <w:hideMark/>
          </w:tcPr>
          <w:tbl>
            <w:tblPr>
              <w:tblW w:w="1050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92FB8" w:rsidRPr="00792FB8" w:rsidTr="00792FB8">
              <w:trPr>
                <w:tblCellSpacing w:w="15" w:type="dxa"/>
              </w:trPr>
              <w:tc>
                <w:tcPr>
                  <w:tcW w:w="5000" w:type="pct"/>
                  <w:hideMark/>
                </w:tcPr>
                <w:p w:rsidR="00DD07B7" w:rsidRDefault="00183206" w:rsidP="00AB78E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8C0000"/>
                      <w:sz w:val="28"/>
                      <w:szCs w:val="28"/>
                      <w:lang w:eastAsia="ru-RU"/>
                    </w:rPr>
                  </w:pPr>
                  <w:r w:rsidRPr="00DD07B7">
                    <w:rPr>
                      <w:rFonts w:ascii="Times New Roman" w:eastAsia="Times New Roman" w:hAnsi="Times New Roman" w:cs="Times New Roman"/>
                      <w:b/>
                      <w:color w:val="8C0000"/>
                      <w:sz w:val="28"/>
                      <w:szCs w:val="28"/>
                      <w:lang w:eastAsia="ru-RU"/>
                    </w:rPr>
                    <w:t xml:space="preserve">Правовая помощь детям-сиротам, </w:t>
                  </w:r>
                </w:p>
                <w:p w:rsidR="00183206" w:rsidRPr="00DD07B7" w:rsidRDefault="00183206" w:rsidP="00AB78E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8C0000"/>
                      <w:sz w:val="28"/>
                      <w:szCs w:val="28"/>
                      <w:lang w:eastAsia="ru-RU"/>
                    </w:rPr>
                  </w:pPr>
                  <w:r w:rsidRPr="00DD07B7">
                    <w:rPr>
                      <w:rFonts w:ascii="Times New Roman" w:eastAsia="Times New Roman" w:hAnsi="Times New Roman" w:cs="Times New Roman"/>
                      <w:b/>
                      <w:color w:val="8C0000"/>
                      <w:sz w:val="28"/>
                      <w:szCs w:val="28"/>
                      <w:lang w:eastAsia="ru-RU"/>
                    </w:rPr>
                    <w:t xml:space="preserve">детям, оставшимся без попечения родителей, </w:t>
                  </w:r>
                </w:p>
                <w:p w:rsidR="00792FB8" w:rsidRPr="00DD07B7" w:rsidRDefault="00183206" w:rsidP="00AB78E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8C0000"/>
                      <w:sz w:val="28"/>
                      <w:szCs w:val="28"/>
                      <w:lang w:eastAsia="ru-RU"/>
                    </w:rPr>
                  </w:pPr>
                  <w:r w:rsidRPr="00DD07B7">
                    <w:rPr>
                      <w:rFonts w:ascii="Times New Roman" w:eastAsia="Times New Roman" w:hAnsi="Times New Roman" w:cs="Times New Roman"/>
                      <w:b/>
                      <w:color w:val="8C0000"/>
                      <w:sz w:val="28"/>
                      <w:szCs w:val="28"/>
                      <w:lang w:eastAsia="ru-RU"/>
                    </w:rPr>
                    <w:t>детям – инвалидам и их родителям</w:t>
                  </w:r>
                </w:p>
                <w:p w:rsidR="00183206" w:rsidRDefault="00183206" w:rsidP="00AB78E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8C0000"/>
                      <w:sz w:val="28"/>
                      <w:szCs w:val="28"/>
                      <w:lang w:eastAsia="ru-RU"/>
                    </w:rPr>
                  </w:pPr>
                </w:p>
                <w:p w:rsidR="00183206" w:rsidRDefault="00183206" w:rsidP="007F523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8C0000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914F520" wp14:editId="340CC51C">
                        <wp:extent cx="4591050" cy="3638550"/>
                        <wp:effectExtent l="0" t="0" r="0" b="0"/>
                        <wp:docPr id="1" name="Рисунок 1" descr="https://otvet.imgsmail.ru/download/u_bc7fb41539a03af54998142ba8b40033_8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otvet.imgsmail.ru/download/u_bc7fb41539a03af54998142ba8b40033_8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3638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83206" w:rsidRPr="00792FB8" w:rsidRDefault="00183206" w:rsidP="001832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8C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83206" w:rsidRPr="00183206" w:rsidRDefault="00183206" w:rsidP="00183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183206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Права детей-сирот и детей, оставшихся без попечения родителей</w:t>
            </w:r>
          </w:p>
          <w:p w:rsidR="00183206" w:rsidRPr="00792FB8" w:rsidRDefault="00183206" w:rsidP="00183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решение проблем сиротства направлен ряд федеральных законов, указов Президента России и постановлений Правительства РФ. К их числу относятся:</w:t>
            </w:r>
          </w:p>
          <w:p w:rsidR="00792FB8" w:rsidRPr="00183206" w:rsidRDefault="00183206" w:rsidP="00C57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Семейный кодекс РФ;</w:t>
            </w:r>
          </w:p>
          <w:tbl>
            <w:tblPr>
              <w:tblW w:w="1050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92FB8" w:rsidRPr="00792FB8" w:rsidTr="00792F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92FB8" w:rsidRPr="00792FB8" w:rsidRDefault="00183206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792FB8"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Федеральный закон от 21 декабря 1996 г. N 159-ФЗ "О дополнительных гарантиях по социальной поддержке детей-сирот и детей, оставшихся без попечения родителей";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Феде</w:t>
                  </w:r>
                  <w:r w:rsidR="002F51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ральный закон от 24 апреля 2008г. N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48-ФЗ "Об опеке и попечительстве"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 другие.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Дети-сироты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– это лица в возрасте до 18 лет, у которых умерли оба или единственный </w:t>
                  </w:r>
                  <w:r w:rsidR="001832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родитель.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Дети, оставшиеся без попечения родителей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– это лица в возрасте до 18 лет, которые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</w:t>
                  </w:r>
                  <w:proofErr w:type="gramEnd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gramStart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нахождением в местах содержания под стражей,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</w:t>
                  </w:r>
                  <w:r w:rsidR="001832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установленном законом порядке.</w:t>
                  </w:r>
                  <w:proofErr w:type="gramEnd"/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Лица из числа детей-сирот и детей, оставшихся без попе</w:t>
                  </w:r>
                  <w:r w:rsidR="00AB78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чения родителей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поддержке;</w:t>
                  </w:r>
                  <w:proofErr w:type="gramEnd"/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(ст. 1 ФЗ "О дополнительных гарантиях по социальной поддержке детей-сирот и детей, оставшихся без попечения родителей").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Функции по защите прав и интересов детей возлагаются на</w:t>
                  </w:r>
                  <w:r w:rsidR="00AB78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органы опеки и попечительства</w:t>
                  </w:r>
                  <w:r w:rsidR="00AB78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случаях смерти родителей, лишения их родительских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от защиты их прав и интересов, в том числе при отказе родителей взять своих детей из образовательных организаций, медицинских организаций</w:t>
                  </w:r>
                  <w:proofErr w:type="gramEnd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организаций, оказывающих социальные услуги или аналогичных организаций, при создании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развитию, а также в других случаях отсутствия родительского попечения</w:t>
                  </w:r>
                  <w:r w:rsidR="00AB78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(ст. 31 ГК РФ и п. 1 ст. 121 СК РФ)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Опека или попечительство устанавливаются над детьми-сиротами и детьми,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оставшимися без попечения родителей, в целях их содержания, воспитания и образования, а также для защиты их прав и интересов. Над детьми, не достигшими 14-летнего возраста, устанавливается опека, над детьми в возрасте от 14 до 18 лет – попечительство.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Действующим федеральным законодательством предусмотрены следующие</w:t>
                  </w:r>
                  <w:r w:rsidR="00AB78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формы устройства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детей-сирот и детей, оставшихся без попечения родителей: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- усыновление (удочерение),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- передача под опеку (попечительство), в приемную семью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либо в случаях, предусмотренных законами субъектов Российской Федерации, в патронатную семью, а при отсутствии такой возможности –</w:t>
                  </w:r>
                  <w:r w:rsidR="00AB78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 организации для детей-сирот и детей, оставшихся без попечения родителей, всех типов</w:t>
                  </w:r>
                  <w:r w:rsidR="00E1675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r w:rsidRPr="00792FB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(п. 1 ст. 123 СК РФ)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92FB8" w:rsidRPr="00183206" w:rsidRDefault="00792FB8" w:rsidP="00AB78E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 w:rsidRPr="00183206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8"/>
                      <w:szCs w:val="28"/>
                      <w:lang w:eastAsia="ru-RU"/>
                    </w:rPr>
                    <w:t>Государственные гарантии по социальной поддержке детей, оставшихся без попечения родителей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Родители, лишенные родительских прав, теряют все права, основанные на факте родства с ребенком, в отношении которого они были лишены родительских прав, в том числе право на получение от него содержания, а также право на льготы и государственные пособия, установленные для граждан, имеющих детей </w:t>
                  </w:r>
                  <w:r w:rsidRPr="00792FB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(ст. 71 Семейного кодекса РФ).</w:t>
                  </w:r>
                </w:p>
                <w:p w:rsidR="00792FB8" w:rsidRPr="00183206" w:rsidRDefault="00792FB8" w:rsidP="00AB78E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 w:rsidRPr="00183206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8"/>
                      <w:szCs w:val="28"/>
                      <w:lang w:eastAsia="ru-RU"/>
                    </w:rPr>
                    <w:t>Лишение родительских прав не освобождает родителей от обязанности содержать своего ребенка.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Родители обязаны содержать своих несовершеннолетних детей</w:t>
                  </w:r>
                  <w:r w:rsidR="00AB78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(ст. 80 Семейного кодекса РФ).</w:t>
                  </w:r>
                  <w:r w:rsidR="00AB78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случае</w:t>
                  </w:r>
                  <w:proofErr w:type="gramStart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proofErr w:type="gramEnd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Алименты на несовершеннолетних детей взыскиваются судом с их родителей ежемесячно в размере: на одного ребенка — 1/4, на двух детей – 1/3, на трех и более детей – 1/2 заработка и (или) иного дохода родителей </w:t>
                  </w:r>
                  <w:r w:rsidRPr="00792FB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(ст. 81 Семейного кодекса РФ)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обстоятельств.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Федеральный закон от 21.12.96 № 159-ФЗ "О дополнительных гарантиях по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социальной поддержке детей-сирот и детей, оставшихся без попечения родителей" определяет общие принципы, содержание и меры социальной поддержки детей-сирот и детей, оставшихся без попечения родителей, а также лиц из их числа в возрасте до 23 лет.</w:t>
                  </w:r>
                </w:p>
                <w:p w:rsidR="00183206" w:rsidRDefault="00183206" w:rsidP="00AB78E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8"/>
                      <w:szCs w:val="28"/>
                      <w:lang w:eastAsia="ru-RU"/>
                    </w:rPr>
                  </w:pPr>
                </w:p>
                <w:p w:rsidR="007F523D" w:rsidRDefault="007F523D" w:rsidP="007F523D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F2A001" wp14:editId="3EF14897">
                        <wp:extent cx="3438525" cy="3067050"/>
                        <wp:effectExtent l="0" t="0" r="9525" b="0"/>
                        <wp:docPr id="3" name="Рисунок 3" descr="http://steshka.ru/wp-content/uploads/2013/01/%D0%9F%D1%80%D0%B0%D0%B2%D0%B0-%D1%80%D0%B5%D0%B1%D0%B5%D0%BD%D0%BA%D0%B0-%D1%81%D1%82%D1%803-300x2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steshka.ru/wp-content/uploads/2013/01/%D0%9F%D1%80%D0%B0%D0%B2%D0%B0-%D1%80%D0%B5%D0%B1%D0%B5%D0%BD%D0%BA%D0%B0-%D1%81%D1%82%D1%803-300x2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8525" cy="3067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Федеральный закон от 3 февраля 2014 г. № 11-ФЗ «О внесении изменений в статью 108 Федерального закона «Об образовании в Российской Федера</w:t>
                  </w:r>
                  <w:r w:rsidR="00E167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ции», предусматривает наделение </w:t>
                  </w: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детей-сирот и детей, оставшихся без попечения родителей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а также лиц из числа детей-сирот и детей, оставшихся без попечения родителей,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правом на прием на обучение</w:t>
                  </w:r>
                  <w:r w:rsidR="00E167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имеющим государственную аккредитацию программам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бакалавриата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 программам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специалитета</w:t>
                  </w:r>
                  <w:r w:rsidR="00DD07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  <w:proofErr w:type="spellEnd"/>
                  <w:r w:rsidR="00DD07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пределах установленной </w:t>
                  </w: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квоты</w:t>
                  </w:r>
                  <w:r w:rsidR="00DD07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</w:t>
                  </w:r>
                  <w:proofErr w:type="gramEnd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условии</w:t>
                  </w:r>
                  <w:proofErr w:type="gramEnd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успешного прохождения вступительных испытаний.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Таким образом,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зачисление детей-сирот на бюджетные места в вузы осуществляется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вне конкурса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в рамках специальной квоты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 получение высшего образования представителями льготных категорий граждан.</w:t>
                  </w:r>
                </w:p>
                <w:p w:rsidR="00E16757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Для детей-сирот и детей, оставшихся без попечения родителей</w:t>
                  </w: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предусмотрено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бесплатное обучение на подготовительных отделениях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образовательных организаций высшего образования за счет средств соответствующего бюджета </w:t>
                  </w: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бюджетной системы Российской Федерации</w:t>
                  </w:r>
                  <w:r w:rsidR="00E167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(пункт 1 статьи 6 Федерального закона №159-ФЗ от 21.12.1996 г. «О дополнительных гарантиях по социальной поддержке детей-сирот и детей, оставшихся без попечения родителей»).</w:t>
                  </w:r>
                </w:p>
                <w:p w:rsid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  <w:proofErr w:type="gramStart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Дети-сироты и дети, оставшиеся без попечения родителей, лица из числа детей-сирот и детей, оставшихся без попечения родителей, обучающиеся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РФ, а также обучающиеся, потерявшие в период обучения обоих родите</w:t>
                  </w:r>
                  <w:r w:rsidR="00DD07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лей или единственного родителя,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зачисляются на полное государственное обеспечение до</w:t>
                  </w:r>
                  <w:proofErr w:type="gramEnd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завершения обучения.</w:t>
                  </w:r>
                </w:p>
                <w:p w:rsidR="00E16757" w:rsidRPr="00792FB8" w:rsidRDefault="00E16757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За лицами из числа детей-сирот и детей, оставшихся без попечения родителей, за обучающимися, потерявшими в этот период обоих или единственного родителя, в случае </w:t>
                  </w:r>
                  <w:r w:rsidR="00E167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достижения ими возраста 23 лет,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сохраняется право на полное государственное обеспечение и дополнительные гарантии по социальной поддержке</w:t>
                  </w:r>
                  <w:r w:rsidR="00E167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период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</w:t>
                  </w:r>
                  <w:proofErr w:type="gramEnd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счет средств соответствующих бюджетов бюджетной системы Российской Федерации при получении среднего профессионального образования или высшего образования до окончания </w:t>
                  </w:r>
                  <w:proofErr w:type="gramStart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обучения</w:t>
                  </w:r>
                  <w:proofErr w:type="gramEnd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 указанным образовательным программам.</w:t>
                  </w:r>
                </w:p>
                <w:p w:rsidR="00E16757" w:rsidRDefault="00E16757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Детям-сиротам и детям, оставшимся без попечения родителей, лицам из числа детей-сирот и детей, оставшихся без попечения родителей, обучающимся в федеральных государственных образовательных учреждениях, наряду с полным государственным обеспечением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выплачиваются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стипендия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ежегодное пособие на приобретение учебной литературы и письменных принадлежностей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размере трехмесячной стипендии</w:t>
                  </w: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 также сто процентов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заработной платы</w:t>
                  </w: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начисленной в период производственного обучения и производственной практики.</w:t>
                  </w:r>
                  <w:proofErr w:type="gramEnd"/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При предоставлении обучающимся детям-сиротам и детям, оставшимся без попечения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родителей, лицам из числа детей-сирот и детей, оставшихся без попечения родителей,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академического отпуска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по медицинским показаниям за ними сохраняется на весь период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полное государственное обеспечение,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выплачивается</w:t>
                  </w:r>
                  <w:r w:rsidR="00E167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стипендия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Образовательное учреждение содействует организации их лечения.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Дети-сироты и дети, оставшиеся без попечения родителей, лица из числа детей-сирот и детей, оставшихся без попечения родителей, обучающиеся за счет средств федерального бюджета по имеющим государственную аккредита</w:t>
                  </w:r>
                  <w:r w:rsidR="00DD07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цию образовательным программам,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обе</w:t>
                  </w:r>
                  <w:r w:rsidR="00DD07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спечиваются бесплатным проездом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учебы.</w:t>
                  </w:r>
                  <w:proofErr w:type="gramEnd"/>
                </w:p>
                <w:p w:rsid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Дети-сироты и дети, оставшиеся без попечения родителей, лица из числа детей-сирот и детей, оставшихся без попечения родителей, имеют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="00E167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право на получение </w:t>
                  </w: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второго среднего профессионального образования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без взимания платы.</w:t>
                  </w:r>
                </w:p>
                <w:p w:rsidR="007F523D" w:rsidRDefault="007F523D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F523D" w:rsidRDefault="007F523D" w:rsidP="00DD07B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97A96DB" wp14:editId="7EFA2CC4">
                        <wp:extent cx="4514850" cy="2943225"/>
                        <wp:effectExtent l="0" t="0" r="0" b="9525"/>
                        <wp:docPr id="4" name="Рисунок 4" descr="http://steshka.ru/wp-content/uploads/2013/01/%D0%9F%D1%80%D0%B0%D0%B2%D0%B0-%D1%80%D0%B5%D0%B1%D0%B5%D0%BD%D0%BA%D0%B0-%D1%81%D1%82%D1%805-300x2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steshka.ru/wp-content/uploads/2013/01/%D0%9F%D1%80%D0%B0%D0%B2%D0%B0-%D1%80%D0%B5%D0%B1%D0%B5%D0%BD%D0%BA%D0%B0-%D1%81%D1%82%D1%805-300x2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4850" cy="2943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Детям-сиротам и детям, оставшимся без попечения родителей, а также лицам из числа детей-сирот и детей, оставшихся без попечения родителей, предоставляется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бесплатное медицинское обслуживание и оперативное лечение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 государственном и муниципальном лечебно-профилактическом учреждении, в том числе высокотехнологичная медицинская помощь, проведение диспансеризации,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оздоровления, регулярных медицинских осмотров.</w:t>
                  </w:r>
                  <w:proofErr w:type="gramEnd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Кроме того, им могут предоставляться путевки в школьные и студенческие спортивно-оздоровительные лагеря (базы) труда и отдыха, в санаторно-курортные учреждения при наличии медицинских показаний, а также оплачивается проезд к месту лечения и обратно.</w:t>
                  </w:r>
                </w:p>
                <w:p w:rsidR="00792FB8" w:rsidRDefault="00792FB8" w:rsidP="00AB78E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8"/>
                      <w:szCs w:val="28"/>
                      <w:lang w:eastAsia="ru-RU"/>
                    </w:rPr>
                  </w:pPr>
                  <w:r w:rsidRPr="00183206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8"/>
                      <w:szCs w:val="28"/>
                      <w:lang w:eastAsia="ru-RU"/>
                    </w:rPr>
                    <w:t>Право на имущество и жилое помещение</w:t>
                  </w:r>
                </w:p>
                <w:p w:rsidR="007F523D" w:rsidRDefault="007F523D" w:rsidP="007F523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E9459E8" wp14:editId="7C49F91C">
                        <wp:extent cx="3943350" cy="3305175"/>
                        <wp:effectExtent l="0" t="0" r="0" b="9525"/>
                        <wp:docPr id="7" name="Рисунок 7" descr="http://steshka.ru/wp-content/uploads/2013/01/%D0%9F%D1%80%D0%B0%D0%B2%D0%B0-%D1%80%D0%B5%D0%B1%D0%B5%D0%BD%D0%BA%D0%B0-%D1%81%D1%82%D1%806-300x2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steshka.ru/wp-content/uploads/2013/01/%D0%9F%D1%80%D0%B0%D0%B2%D0%B0-%D1%80%D0%B5%D0%B1%D0%B5%D0%BD%D0%BA%D0%B0-%D1%81%D1%82%D1%806-300x2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43350" cy="3305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</w:t>
                  </w:r>
                  <w:proofErr w:type="gramEnd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собственниками жилых помещений, в случае, если их проживание в ранее занимаемых жилых помещениях признается невозможным,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</w:t>
                  </w:r>
                  <w:r w:rsidR="007F523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однократно предоставляются благоустроенные жилые помещения</w:t>
                  </w:r>
                  <w:r w:rsidR="007F523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спец</w:t>
                  </w:r>
                  <w:r w:rsidR="007F523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иализированного жилищного фонда </w:t>
                  </w:r>
                  <w:r w:rsidR="007F523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по договорам найма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специализированных жилых помещений.</w:t>
                  </w:r>
                  <w:proofErr w:type="gramEnd"/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Жилые помещения предоставляются по достижении возраста 18 лет, а также в случае приобретения полной дееспособности до достижения совершеннолетия.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Срок действия договора найма специализированного жилого помещения, составляет 5 лет.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случае выявления обстоятельств, свидетельствующих о необходимости оказания лицам, содействия в преодолении трудной жизненной ситуации, договор найма специализированного жилого помещения может быть заключен на новый пятилетний срок.</w:t>
                  </w:r>
                </w:p>
                <w:p w:rsid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 окончании </w:t>
                  </w:r>
                  <w:proofErr w:type="gramStart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срока действия договора найма специализированного жилого помещения</w:t>
                  </w:r>
                  <w:proofErr w:type="gramEnd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орган исполнительной власти субъекта Российской Федерации, осуществляющий управление государственным жилищным фондом, обязан принять решение об исключении жилого помещения из специализированного жилищного фонда и заключить с лицами договор социального найма в отношении данного жилого помещения в порядке, установленном законодательством субъекта Российской Федерации.</w:t>
                  </w:r>
                </w:p>
                <w:p w:rsidR="00792FB8" w:rsidRDefault="00792FB8" w:rsidP="00AB78E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8"/>
                      <w:szCs w:val="28"/>
                      <w:lang w:eastAsia="ru-RU"/>
                    </w:rPr>
                  </w:pPr>
                  <w:r w:rsidRPr="00183206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8"/>
                      <w:szCs w:val="28"/>
                      <w:lang w:eastAsia="ru-RU"/>
                    </w:rPr>
                    <w:t>Право на труд</w:t>
                  </w:r>
                </w:p>
                <w:p w:rsidR="007F523D" w:rsidRDefault="007F523D" w:rsidP="007F523D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E6B397" wp14:editId="79846A9D">
                        <wp:extent cx="3409950" cy="2324100"/>
                        <wp:effectExtent l="0" t="0" r="0" b="0"/>
                        <wp:docPr id="6" name="Рисунок 6" descr="http://steshka.ru/wp-content/uploads/2013/01/%D0%9F%D1%80%D0%B0%D0%B2%D0%B0-%D1%80%D0%B5%D0%B1%D0%B5%D0%BD%D0%BA%D0%B0-%D1%81%D1%82%D1%8012-300x2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steshka.ru/wp-content/uploads/2013/01/%D0%9F%D1%80%D0%B0%D0%B2%D0%B0-%D1%80%D0%B5%D0%B1%D0%B5%D0%BD%D0%BA%D0%B0-%D1%81%D1%82%D1%8012-300x2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995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Органы государственной службы занятости населения при обращении к ним детей-сирот и детей, оставшихся без попечения родителей в возрасте от 14 до 18 лет, осуществляют </w:t>
                  </w:r>
                  <w:proofErr w:type="spellStart"/>
                  <w:r w:rsidR="00E16757"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</w:t>
                  </w:r>
                  <w:r w:rsidR="00E167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</w:t>
                  </w:r>
                  <w:r w:rsidR="00E16757"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ориентационную</w:t>
                  </w:r>
                  <w:proofErr w:type="spellEnd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работу с указанными лицами и обеспечивают диагностику их профессиональной пригодности с учетом состояния здоровья.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Работникам из числа детей-сирот, детей, оставшихся без попечения родителей, а также лицам из числа детей-сирот и детей, оставшихся без попечения родителей,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высвобождаемым из организаций в связи с их ликвидацией, сокращением численности или штата, работодатели (их правопреемники) обязаны обеспечить за счет </w:t>
                  </w:r>
                  <w:r w:rsidR="00E167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собственных средств необходимое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профессиональное обучение с последующим их трудоустройством</w:t>
                  </w:r>
                  <w:r w:rsidR="00C572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данной или другой организации.</w:t>
                  </w:r>
                  <w:proofErr w:type="gramEnd"/>
                </w:p>
                <w:p w:rsidR="007F523D" w:rsidRDefault="007F523D" w:rsidP="00AB78E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8"/>
                      <w:szCs w:val="28"/>
                      <w:lang w:eastAsia="ru-RU"/>
                    </w:rPr>
                  </w:pPr>
                </w:p>
                <w:p w:rsidR="00792FB8" w:rsidRDefault="00792FB8" w:rsidP="00AB78E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8"/>
                      <w:szCs w:val="28"/>
                      <w:lang w:eastAsia="ru-RU"/>
                    </w:rPr>
                  </w:pPr>
                  <w:r w:rsidRPr="00183206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8"/>
                      <w:szCs w:val="28"/>
                      <w:lang w:eastAsia="ru-RU"/>
                    </w:rPr>
                    <w:t>Судебная защита прав</w:t>
                  </w:r>
                </w:p>
                <w:p w:rsidR="007F523D" w:rsidRDefault="007F523D" w:rsidP="00AB78E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8"/>
                      <w:szCs w:val="28"/>
                      <w:lang w:eastAsia="ru-RU"/>
                    </w:rPr>
                  </w:pPr>
                </w:p>
                <w:p w:rsidR="007F523D" w:rsidRDefault="007F523D" w:rsidP="007F523D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7FB032B" wp14:editId="23B56576">
                        <wp:extent cx="3505200" cy="3000375"/>
                        <wp:effectExtent l="0" t="0" r="0" b="9525"/>
                        <wp:docPr id="5" name="Рисунок 5" descr="http://steshka.ru/wp-content/uploads/2013/01/%D0%9F%D1%80%D0%B0%D0%B2%D0%B0-%D1%80%D0%B5%D0%B1%D0%B5%D0%BD%D0%BA%D0%B0-%D1%81%D1%82%D1%807-300x2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steshka.ru/wp-content/uploads/2013/01/%D0%9F%D1%80%D0%B0%D0%B2%D0%B0-%D1%80%D0%B5%D0%B1%D0%B5%D0%BD%D0%BA%D0%B0-%D1%81%D1%82%D1%807-300x2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5200" cy="3000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523D" w:rsidRDefault="007F523D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 защитой своих прав дети-сироты и дети, оставшиеся без попечения родителей, а равно их законные представители, опекуны (попечители), органы опеки и попечительства и прокурор вправе обратиться в установленном порядке в соответствующие суды Российской Федерации.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Дети-сироты и дети, оставшиеся без попечения родителей, имеют право в соответствии с Федеральным законом "О бесплатной юридической помощи в Российской Федерации" на</w:t>
                  </w:r>
                  <w:r w:rsidR="00C572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бесплатную юридическую помощь</w:t>
                  </w:r>
                  <w:r w:rsidR="00C572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167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 виде </w:t>
                  </w:r>
                  <w:r w:rsidRPr="00792FB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(ст. 10 федерального закона от 21.12.1996 № 159-ФЗ "О дополнительных гарантиях по социальной поддержке детей-сирот и детей, оставшихся без попечения родителей")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1) правового консультирования в устной и письменной форме;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2) составления заявлений, жалоб, ходатайств и других документов правового </w:t>
                  </w: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характера;</w:t>
                  </w:r>
                </w:p>
                <w:p w:rsidR="00792FB8" w:rsidRPr="00792FB8" w:rsidRDefault="00792FB8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2F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РФ.</w:t>
                  </w:r>
                </w:p>
              </w:tc>
            </w:tr>
            <w:tr w:rsidR="00AB78E2" w:rsidRPr="00792FB8" w:rsidTr="00792FB8">
              <w:trPr>
                <w:tblCellSpacing w:w="15" w:type="dxa"/>
              </w:trPr>
              <w:tc>
                <w:tcPr>
                  <w:tcW w:w="0" w:type="auto"/>
                </w:tcPr>
                <w:p w:rsidR="00AB78E2" w:rsidRPr="00792FB8" w:rsidRDefault="00AB78E2" w:rsidP="00C572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92FB8" w:rsidRPr="00792FB8" w:rsidRDefault="00792FB8" w:rsidP="00C57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92FB8" w:rsidRPr="00792FB8" w:rsidTr="007F523D">
        <w:trPr>
          <w:gridBefore w:val="1"/>
          <w:gridAfter w:val="1"/>
          <w:wBefore w:w="9773" w:type="dxa"/>
          <w:wAfter w:w="573" w:type="dxa"/>
          <w:tblCellSpacing w:w="0" w:type="dxa"/>
        </w:trPr>
        <w:tc>
          <w:tcPr>
            <w:tcW w:w="0" w:type="auto"/>
          </w:tcPr>
          <w:p w:rsidR="00792FB8" w:rsidRPr="00792FB8" w:rsidRDefault="00792FB8" w:rsidP="00792F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8C0000"/>
                <w:sz w:val="28"/>
                <w:szCs w:val="28"/>
                <w:lang w:eastAsia="ru-RU"/>
              </w:rPr>
            </w:pPr>
          </w:p>
        </w:tc>
      </w:tr>
    </w:tbl>
    <w:p w:rsidR="00B00FCB" w:rsidRDefault="00183206">
      <w:r>
        <w:rPr>
          <w:noProof/>
          <w:lang w:eastAsia="ru-RU"/>
        </w:rPr>
        <w:drawing>
          <wp:inline distT="0" distB="0" distL="0" distR="0">
            <wp:extent cx="5938180" cy="3657600"/>
            <wp:effectExtent l="0" t="0" r="5715" b="0"/>
            <wp:docPr id="2" name="Рисунок 2" descr="http://1.bp.blogspot.com/-uy2C575lwuo/VFz-87g7oxI/AAAAAAAAADc/LSZkB6jyxCY/s1600/prava_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uy2C575lwuo/VFz-87g7oxI/AAAAAAAAADc/LSZkB6jyxCY/s1600/prava_plaka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B8"/>
    <w:rsid w:val="00183206"/>
    <w:rsid w:val="002F5121"/>
    <w:rsid w:val="0042766E"/>
    <w:rsid w:val="005A7310"/>
    <w:rsid w:val="00792FB8"/>
    <w:rsid w:val="007F523D"/>
    <w:rsid w:val="00AB78E2"/>
    <w:rsid w:val="00B00FCB"/>
    <w:rsid w:val="00C57258"/>
    <w:rsid w:val="00DD07B7"/>
    <w:rsid w:val="00E1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FB8"/>
    <w:rPr>
      <w:b/>
      <w:bCs/>
    </w:rPr>
  </w:style>
  <w:style w:type="character" w:customStyle="1" w:styleId="apple-converted-space">
    <w:name w:val="apple-converted-space"/>
    <w:basedOn w:val="a0"/>
    <w:rsid w:val="00792FB8"/>
  </w:style>
  <w:style w:type="character" w:styleId="a5">
    <w:name w:val="Emphasis"/>
    <w:basedOn w:val="a0"/>
    <w:uiPriority w:val="20"/>
    <w:qFormat/>
    <w:rsid w:val="00792F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8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FB8"/>
    <w:rPr>
      <w:b/>
      <w:bCs/>
    </w:rPr>
  </w:style>
  <w:style w:type="character" w:customStyle="1" w:styleId="apple-converted-space">
    <w:name w:val="apple-converted-space"/>
    <w:basedOn w:val="a0"/>
    <w:rsid w:val="00792FB8"/>
  </w:style>
  <w:style w:type="character" w:styleId="a5">
    <w:name w:val="Emphasis"/>
    <w:basedOn w:val="a0"/>
    <w:uiPriority w:val="20"/>
    <w:qFormat/>
    <w:rsid w:val="00792F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8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pk303</dc:creator>
  <cp:keywords/>
  <dc:description/>
  <cp:lastModifiedBy>pk303</cp:lastModifiedBy>
  <cp:revision>2</cp:revision>
  <dcterms:created xsi:type="dcterms:W3CDTF">2015-11-13T04:53:00Z</dcterms:created>
  <dcterms:modified xsi:type="dcterms:W3CDTF">2015-11-13T04:53:00Z</dcterms:modified>
</cp:coreProperties>
</file>